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DB01" w14:textId="77777777" w:rsidR="00F90D21" w:rsidRPr="00F90D21" w:rsidRDefault="00F90D21" w:rsidP="00F90D21">
      <w:pPr>
        <w:shd w:val="clear" w:color="auto" w:fill="FFFFFF"/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DIVULGAÇÃO DE HOMOLOGAÇÃO -SEGUNDA PARCELA – 4º LOTE</w:t>
      </w:r>
    </w:p>
    <w:p w14:paraId="2C626C23" w14:textId="77777777" w:rsidR="00F90D21" w:rsidRPr="00F90D21" w:rsidRDefault="00F90D21" w:rsidP="00F90D21">
      <w:pPr>
        <w:shd w:val="clear" w:color="auto" w:fill="FFFFFF"/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Aviso  – “Lei Aldir Blanc”</w:t>
      </w:r>
    </w:p>
    <w:p w14:paraId="56DB4C16" w14:textId="77777777" w:rsidR="00F90D21" w:rsidRPr="00F90D21" w:rsidRDefault="00F90D21" w:rsidP="00F90D21">
      <w:pPr>
        <w:shd w:val="clear" w:color="auto" w:fill="FFFFFF"/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Processo SEI 20.0.000077819-3</w:t>
      </w:r>
    </w:p>
    <w:p w14:paraId="3602CBDF" w14:textId="77777777" w:rsidR="00F90D21" w:rsidRPr="00F90D21" w:rsidRDefault="00F90D21" w:rsidP="00F90D21">
      <w:pPr>
        <w:shd w:val="clear" w:color="auto" w:fill="FFFFFF"/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245408B9" w14:textId="77777777" w:rsidR="00F90D21" w:rsidRPr="00F90D21" w:rsidRDefault="00F90D21" w:rsidP="00F90D21">
      <w:pPr>
        <w:shd w:val="clear" w:color="auto" w:fill="FFFFFF"/>
        <w:spacing w:after="0"/>
        <w:ind w:firstLine="0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46DF6B76" w14:textId="77777777" w:rsidR="00F90D21" w:rsidRPr="00F90D21" w:rsidRDefault="00F90D21" w:rsidP="00F90D21">
      <w:pPr>
        <w:shd w:val="clear" w:color="auto" w:fill="FFFFFF"/>
        <w:spacing w:after="0"/>
        <w:ind w:firstLine="0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A Secretaria Municipal da Cultura torna público o resultado da etapa de </w:t>
      </w:r>
      <w:r w:rsidRPr="00F90D2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HOMOLOGAÇÃO -SEGUNDA PARCELA – Quarto lote</w:t>
      </w:r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, de acordo com o Decreto Municipal nº 20.715 e a Portaria 99/2020 (DOPA de 30/9/2020), para fins do recebimento do subsídio previsto no Artigo 2°, inc. II da Lei Federal 14.017/2020 (Lei Aldir Blanc).</w:t>
      </w:r>
    </w:p>
    <w:p w14:paraId="042A67EF" w14:textId="77777777" w:rsidR="00F90D21" w:rsidRPr="00F90D21" w:rsidRDefault="00F90D21" w:rsidP="00F90D21">
      <w:pPr>
        <w:shd w:val="clear" w:color="auto" w:fill="FFFFFF"/>
        <w:spacing w:after="0"/>
        <w:ind w:firstLine="0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As entidades listadas abaixo deverão preencher, assinar e encaminhar, através do link: </w:t>
      </w:r>
      <w:hyperlink r:id="rId4" w:history="1">
        <w:r w:rsidRPr="00F90D21">
          <w:rPr>
            <w:rFonts w:eastAsia="Times New Roman" w:cs="Arial"/>
            <w:color w:val="0000FF"/>
            <w:sz w:val="20"/>
            <w:szCs w:val="20"/>
            <w:u w:val="single"/>
            <w:lang w:eastAsia="pt-BR"/>
          </w:rPr>
          <w:t>http://bit.ly/Inciso2Docs</w:t>
        </w:r>
      </w:hyperlink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, </w:t>
      </w:r>
      <w:r w:rsidRPr="00F90D2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ATÉ O DIA 30 DE NOVEMBRO DE 2020, às 23h59min</w:t>
      </w:r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, o  Recibo e a Declaração de Contrapartida, conforme os modelos disponíveis em</w:t>
      </w:r>
      <w:r w:rsidRPr="00F90D21">
        <w:rPr>
          <w:rFonts w:eastAsia="Times New Roman" w:cs="Arial"/>
          <w:color w:val="222222"/>
          <w:sz w:val="20"/>
          <w:szCs w:val="20"/>
          <w:lang w:eastAsia="pt-BR"/>
        </w:rPr>
        <w:br/>
      </w:r>
      <w:hyperlink r:id="rId5" w:history="1">
        <w:r w:rsidRPr="00F90D21">
          <w:rPr>
            <w:rFonts w:eastAsia="Times New Roman" w:cs="Arial"/>
            <w:color w:val="0000FF"/>
            <w:sz w:val="20"/>
            <w:szCs w:val="20"/>
            <w:u w:val="single"/>
            <w:lang w:eastAsia="pt-BR"/>
          </w:rPr>
          <w:t>https://drive.google.com/drive/folders/1SNr9wdILweyXVpaN-TokgBYYEF_kMEKz?usp=sharing</w:t>
        </w:r>
      </w:hyperlink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.</w:t>
      </w:r>
    </w:p>
    <w:p w14:paraId="69E1FC09" w14:textId="77777777" w:rsidR="00F90D21" w:rsidRPr="00F90D21" w:rsidRDefault="00F90D21" w:rsidP="00F90D21">
      <w:pPr>
        <w:shd w:val="clear" w:color="auto" w:fill="FFFFFF"/>
        <w:spacing w:after="0"/>
        <w:ind w:firstLine="0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Eventuais recursos deverão ser enviados, dentro do mesmo prazo, para o correio eletrônico </w:t>
      </w:r>
      <w:hyperlink r:id="rId6" w:history="1">
        <w:r w:rsidRPr="00F90D21">
          <w:rPr>
            <w:rFonts w:eastAsia="Times New Roman" w:cs="Arial"/>
            <w:color w:val="0000FF"/>
            <w:sz w:val="20"/>
            <w:szCs w:val="20"/>
            <w:u w:val="single"/>
            <w:lang w:eastAsia="pt-BR"/>
          </w:rPr>
          <w:t>recursoleialdirblancpoa@gmail.com</w:t>
        </w:r>
      </w:hyperlink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.</w:t>
      </w:r>
    </w:p>
    <w:tbl>
      <w:tblPr>
        <w:tblW w:w="9435" w:type="dxa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580"/>
        <w:gridCol w:w="2580"/>
        <w:gridCol w:w="2580"/>
        <w:gridCol w:w="1276"/>
      </w:tblGrid>
      <w:tr w:rsidR="00F90D21" w:rsidRPr="00F90D21" w14:paraId="0480D08B" w14:textId="77777777" w:rsidTr="00F90D21">
        <w:trPr>
          <w:trHeight w:val="255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1D8ED8A9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</w:p>
          <w:p w14:paraId="0C1A9ABF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i/>
                <w:iCs/>
                <w:color w:val="222222"/>
                <w:sz w:val="20"/>
                <w:szCs w:val="20"/>
                <w:lang w:eastAsia="pt-BR"/>
              </w:rPr>
              <w:t>N° cadastro    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73AF5292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i/>
                <w:iCs/>
                <w:color w:val="222222"/>
                <w:sz w:val="20"/>
                <w:szCs w:val="20"/>
                <w:lang w:eastAsia="pt-BR"/>
              </w:rPr>
              <w:t>Nome do responsável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27FFAC4B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i/>
                <w:iCs/>
                <w:color w:val="222222"/>
                <w:sz w:val="20"/>
                <w:szCs w:val="20"/>
                <w:lang w:eastAsia="pt-BR"/>
              </w:rPr>
              <w:t>Tipo de entidade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16817976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i/>
                <w:iCs/>
                <w:color w:val="222222"/>
                <w:sz w:val="20"/>
                <w:szCs w:val="20"/>
                <w:lang w:eastAsia="pt-BR"/>
              </w:rPr>
              <w:t>Nome ou Razão  Social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01D70E6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i/>
                <w:iCs/>
                <w:color w:val="222222"/>
                <w:sz w:val="20"/>
                <w:szCs w:val="20"/>
                <w:lang w:eastAsia="pt-BR"/>
              </w:rPr>
              <w:t> 2ª parcela R$                 </w:t>
            </w:r>
          </w:p>
        </w:tc>
      </w:tr>
      <w:tr w:rsidR="00F90D21" w:rsidRPr="00F90D21" w14:paraId="6B0297F4" w14:textId="77777777" w:rsidTr="00F90D21">
        <w:trPr>
          <w:trHeight w:val="255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5CCD25AF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452B93D6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Renato de Mattos Motta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33D34399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ESPAÇO ARTÍSTICO OU CULTURAL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4AD509AA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Gente de Palavra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9E0AABA" w14:textId="77777777" w:rsidR="00F90D21" w:rsidRPr="00F90D21" w:rsidRDefault="00F90D21" w:rsidP="00F90D21">
            <w:pPr>
              <w:spacing w:after="0"/>
              <w:ind w:firstLine="0"/>
              <w:jc w:val="righ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 3.000,00</w:t>
            </w:r>
          </w:p>
        </w:tc>
      </w:tr>
      <w:tr w:rsidR="00F90D21" w:rsidRPr="00F90D21" w14:paraId="7DF30B7F" w14:textId="77777777" w:rsidTr="00F90D21">
        <w:trPr>
          <w:trHeight w:val="255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5D8C6B8B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6F068FBB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 xml:space="preserve">Júlio César </w:t>
            </w:r>
            <w:proofErr w:type="spellStart"/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Balhego</w:t>
            </w:r>
            <w:proofErr w:type="spellEnd"/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69C4E9C6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MICROEMPRESA CULTURAL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4249400C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 xml:space="preserve">Júlio César </w:t>
            </w:r>
            <w:proofErr w:type="spellStart"/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Balhego</w:t>
            </w:r>
            <w:proofErr w:type="spellEnd"/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 xml:space="preserve"> Produtora de Eventos EIRELI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F2AF483" w14:textId="77777777" w:rsidR="00F90D21" w:rsidRPr="00F90D21" w:rsidRDefault="00F90D21" w:rsidP="00F90D21">
            <w:pPr>
              <w:spacing w:after="0"/>
              <w:ind w:firstLine="0"/>
              <w:jc w:val="righ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 7.000,00</w:t>
            </w:r>
          </w:p>
        </w:tc>
      </w:tr>
      <w:tr w:rsidR="00F90D21" w:rsidRPr="00F90D21" w14:paraId="1DFD211B" w14:textId="77777777" w:rsidTr="00F90D21">
        <w:trPr>
          <w:trHeight w:val="270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700CF308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3BD46953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 xml:space="preserve">Ademir Jair </w:t>
            </w:r>
            <w:proofErr w:type="spellStart"/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Rost</w:t>
            </w:r>
            <w:proofErr w:type="spellEnd"/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5ED972E3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INSTITUIÇÃO OU ORGANIZAÇÃO CULTURAL COMUNITÁRIA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57195138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Academia de Letras dos Municípios do Rio Grande do Sul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14DBA9F" w14:textId="77777777" w:rsidR="00F90D21" w:rsidRPr="00F90D21" w:rsidRDefault="00F90D21" w:rsidP="00F90D21">
            <w:pPr>
              <w:spacing w:after="0"/>
              <w:ind w:firstLine="0"/>
              <w:jc w:val="righ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 5.000,00</w:t>
            </w:r>
          </w:p>
        </w:tc>
      </w:tr>
      <w:tr w:rsidR="00F90D21" w:rsidRPr="00F90D21" w14:paraId="111AA167" w14:textId="77777777" w:rsidTr="00F90D21">
        <w:trPr>
          <w:trHeight w:val="270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12EBDD42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699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7D93E0C9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Sílvio Souza Lacerda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2D23833B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INSTITUIÇÃO OU ORGANIZAÇÃO CULTURAL COMUNITÁRIA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466E4892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Capoeira Costa e Silva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FE2F696" w14:textId="77777777" w:rsidR="00F90D21" w:rsidRPr="00F90D21" w:rsidRDefault="00F90D21" w:rsidP="00F90D21">
            <w:pPr>
              <w:spacing w:after="0"/>
              <w:ind w:firstLine="0"/>
              <w:jc w:val="righ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 6.000,00</w:t>
            </w:r>
          </w:p>
        </w:tc>
      </w:tr>
      <w:tr w:rsidR="00F90D21" w:rsidRPr="00F90D21" w14:paraId="422ADFA4" w14:textId="77777777" w:rsidTr="00F90D21">
        <w:trPr>
          <w:trHeight w:val="255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45AE95C7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55B4D752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Alexandre Lima Barbosa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15B55170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ESPAÇO ARTÍSTICO OU CULTURAL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6801F7B2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CAPBJ – Capoeira Bom Jesus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E8868D8" w14:textId="7162E32D" w:rsidR="00F90D21" w:rsidRPr="00F90D21" w:rsidRDefault="00F90D21" w:rsidP="00F90D21">
            <w:pPr>
              <w:spacing w:after="0"/>
              <w:ind w:firstLine="0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 xml:space="preserve">        </w:t>
            </w: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0,00*              </w:t>
            </w:r>
          </w:p>
        </w:tc>
      </w:tr>
      <w:tr w:rsidR="00F90D21" w:rsidRPr="00F90D21" w14:paraId="3CB162F1" w14:textId="77777777" w:rsidTr="00F90D21">
        <w:trPr>
          <w:trHeight w:val="255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01D260C3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1082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7ED6C592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Ricardo de Araújo Vianna Soares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10665CBE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PEQUENA EMPRESA CULTURAL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4200A264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RF Produções Artísticas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D62A71A" w14:textId="77777777" w:rsidR="00F90D21" w:rsidRPr="00F90D21" w:rsidRDefault="00F90D21" w:rsidP="00F90D21">
            <w:pPr>
              <w:spacing w:after="0"/>
              <w:ind w:firstLine="0"/>
              <w:jc w:val="righ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 4.000,00</w:t>
            </w:r>
          </w:p>
        </w:tc>
      </w:tr>
      <w:tr w:rsidR="00F90D21" w:rsidRPr="00F90D21" w14:paraId="770FE454" w14:textId="77777777" w:rsidTr="00F90D21">
        <w:trPr>
          <w:trHeight w:val="255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7C2D90DD" w14:textId="77777777" w:rsidR="00F90D21" w:rsidRPr="00F90D21" w:rsidRDefault="00F90D21" w:rsidP="00F90D21">
            <w:pPr>
              <w:spacing w:after="0"/>
              <w:ind w:firstLine="0"/>
              <w:jc w:val="center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1083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7B1B5BE7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 xml:space="preserve">Ênio </w:t>
            </w:r>
            <w:proofErr w:type="spellStart"/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Nardelli</w:t>
            </w:r>
            <w:proofErr w:type="spellEnd"/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63A1A33A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MICROEMPRESA CULTURAL</w:t>
            </w:r>
          </w:p>
        </w:tc>
        <w:tc>
          <w:tcPr>
            <w:tcW w:w="2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noWrap/>
            <w:vAlign w:val="center"/>
            <w:hideMark/>
          </w:tcPr>
          <w:p w14:paraId="4AFFE114" w14:textId="77777777" w:rsidR="00F90D21" w:rsidRPr="00F90D21" w:rsidRDefault="00F90D21" w:rsidP="00F90D21">
            <w:pPr>
              <w:spacing w:after="0"/>
              <w:ind w:firstLine="0"/>
              <w:jc w:val="lef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proofErr w:type="spellStart"/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Procultura</w:t>
            </w:r>
            <w:proofErr w:type="spellEnd"/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 xml:space="preserve"> Brasil </w:t>
            </w:r>
            <w:proofErr w:type="spellStart"/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Eireli</w:t>
            </w:r>
            <w:proofErr w:type="spellEnd"/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56AA384" w14:textId="77777777" w:rsidR="00F90D21" w:rsidRPr="00F90D21" w:rsidRDefault="00F90D21" w:rsidP="00F90D21">
            <w:pPr>
              <w:spacing w:after="0"/>
              <w:ind w:firstLine="0"/>
              <w:jc w:val="right"/>
              <w:rPr>
                <w:rFonts w:eastAsia="Times New Roman" w:cs="Arial"/>
                <w:color w:val="222222"/>
                <w:sz w:val="18"/>
                <w:szCs w:val="18"/>
                <w:lang w:eastAsia="pt-BR"/>
              </w:rPr>
            </w:pPr>
            <w:r w:rsidRPr="00F90D21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 5.000,00</w:t>
            </w:r>
          </w:p>
        </w:tc>
      </w:tr>
    </w:tbl>
    <w:p w14:paraId="37B76181" w14:textId="77777777" w:rsidR="00F90D21" w:rsidRPr="00F90D21" w:rsidRDefault="00F90D21" w:rsidP="00F90D21">
      <w:pPr>
        <w:shd w:val="clear" w:color="auto" w:fill="FFFFFF"/>
        <w:spacing w:after="0"/>
        <w:ind w:firstLine="0"/>
        <w:jc w:val="lef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1124566D" w14:textId="77B7BD79" w:rsidR="00F90D21" w:rsidRPr="00F90D21" w:rsidRDefault="00F90D21" w:rsidP="00F90D21">
      <w:pPr>
        <w:shd w:val="clear" w:color="auto" w:fill="FFFFFF"/>
        <w:spacing w:after="0"/>
        <w:ind w:firstLine="0"/>
        <w:jc w:val="left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color w:val="222222"/>
          <w:sz w:val="20"/>
          <w:szCs w:val="20"/>
          <w:lang w:eastAsia="pt-BR"/>
        </w:rPr>
        <w:t>            * Não atingiu pontuação para segunda parcela, cfe. Art. 13 da Portaria 99/2020.</w:t>
      </w:r>
    </w:p>
    <w:p w14:paraId="3A144ECB" w14:textId="77777777" w:rsidR="00F90D21" w:rsidRPr="00F90D21" w:rsidRDefault="00F90D21" w:rsidP="00F90D21">
      <w:pPr>
        <w:shd w:val="clear" w:color="auto" w:fill="FFFFFF"/>
        <w:spacing w:after="0"/>
        <w:ind w:firstLine="0"/>
        <w:jc w:val="lef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381F8841" w14:textId="77777777" w:rsidR="00F90D21" w:rsidRPr="00F90D21" w:rsidRDefault="00F90D21" w:rsidP="00F90D21">
      <w:pPr>
        <w:shd w:val="clear" w:color="auto" w:fill="FFFFFF"/>
        <w:spacing w:after="0"/>
        <w:ind w:firstLine="0"/>
        <w:jc w:val="righ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2CBAFC88" w14:textId="77777777" w:rsidR="00F90D21" w:rsidRPr="00F90D21" w:rsidRDefault="00F90D21" w:rsidP="00F90D21">
      <w:pPr>
        <w:shd w:val="clear" w:color="auto" w:fill="FFFFFF"/>
        <w:spacing w:after="0"/>
        <w:ind w:firstLine="0"/>
        <w:jc w:val="righ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1C76BBDC" w14:textId="77777777" w:rsidR="00F90D21" w:rsidRPr="00F90D21" w:rsidRDefault="00F90D21" w:rsidP="00F90D21">
      <w:pPr>
        <w:shd w:val="clear" w:color="auto" w:fill="FFFFFF"/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color w:val="222222"/>
          <w:sz w:val="18"/>
          <w:szCs w:val="18"/>
          <w:lang w:eastAsia="pt-BR"/>
        </w:rPr>
        <w:t>Porto Alegre, 26 de novembro de 2020</w:t>
      </w:r>
    </w:p>
    <w:p w14:paraId="1211A138" w14:textId="77777777" w:rsidR="00F90D21" w:rsidRPr="00F90D21" w:rsidRDefault="00F90D21" w:rsidP="00F90D21">
      <w:pPr>
        <w:shd w:val="clear" w:color="auto" w:fill="FFFFFF"/>
        <w:spacing w:after="0"/>
        <w:ind w:firstLine="0"/>
        <w:jc w:val="righ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4962A0F5" w14:textId="77777777" w:rsidR="00F90D21" w:rsidRPr="00F90D21" w:rsidRDefault="00F90D21" w:rsidP="00F90D21">
      <w:pPr>
        <w:shd w:val="clear" w:color="auto" w:fill="FFFFFF"/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F90D21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LUCIANO ALABARSE</w:t>
      </w:r>
      <w:r w:rsidRPr="00F90D21">
        <w:rPr>
          <w:rFonts w:eastAsia="Times New Roman" w:cs="Arial"/>
          <w:color w:val="222222"/>
          <w:sz w:val="18"/>
          <w:szCs w:val="18"/>
          <w:lang w:eastAsia="pt-BR"/>
        </w:rPr>
        <w:t>, Secretário Municipal da Cultura.</w:t>
      </w:r>
    </w:p>
    <w:p w14:paraId="257B05D0" w14:textId="02D7AA36" w:rsidR="000D3378" w:rsidRPr="00F90D21" w:rsidRDefault="000D3378" w:rsidP="00F90D21"/>
    <w:sectPr w:rsidR="000D3378" w:rsidRPr="00F90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23qh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71"/>
    <w:rsid w:val="0003435A"/>
    <w:rsid w:val="0004278A"/>
    <w:rsid w:val="000554E7"/>
    <w:rsid w:val="000D3378"/>
    <w:rsid w:val="0013726A"/>
    <w:rsid w:val="001E4926"/>
    <w:rsid w:val="0038637E"/>
    <w:rsid w:val="0045199E"/>
    <w:rsid w:val="00563B20"/>
    <w:rsid w:val="007C619D"/>
    <w:rsid w:val="008B2641"/>
    <w:rsid w:val="00974B96"/>
    <w:rsid w:val="00A2098D"/>
    <w:rsid w:val="00C22371"/>
    <w:rsid w:val="00E54C6A"/>
    <w:rsid w:val="00F46811"/>
    <w:rsid w:val="00F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47FE"/>
  <w15:chartTrackingRefBased/>
  <w15:docId w15:val="{EACB978C-B070-47FD-A27B-7A62DF7E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9D"/>
    <w:pPr>
      <w:spacing w:after="120" w:line="240" w:lineRule="auto"/>
      <w:ind w:firstLine="709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oesia1">
    <w:name w:val="Poesia1"/>
    <w:basedOn w:val="Normal"/>
    <w:link w:val="Poesia1Char"/>
    <w:qFormat/>
    <w:rsid w:val="00E54C6A"/>
    <w:pPr>
      <w:spacing w:after="0" w:line="36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Poesia1Char">
    <w:name w:val="Poesia1 Char"/>
    <w:basedOn w:val="Fontepargpadro"/>
    <w:link w:val="Poesia1"/>
    <w:rsid w:val="00E54C6A"/>
    <w:rPr>
      <w:rFonts w:ascii="Bookman Old Style" w:hAnsi="Bookman Old Style" w:cs="Bookman Old Style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264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2641"/>
    <w:rPr>
      <w:rFonts w:ascii="Arial" w:hAnsi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2098D"/>
    <w:rPr>
      <w:color w:val="1155CC"/>
      <w:u w:val="single"/>
    </w:rPr>
  </w:style>
  <w:style w:type="character" w:customStyle="1" w:styleId="fontstyle01">
    <w:name w:val="fontstyle01"/>
    <w:basedOn w:val="Fontepargpadro"/>
    <w:rsid w:val="00A2098D"/>
    <w:rPr>
      <w:rFonts w:ascii="23qhk" w:hAnsi="23qhk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3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ursoleialdirblancpoa@gmail.com" TargetMode="External"/><Relationship Id="rId5" Type="http://schemas.openxmlformats.org/officeDocument/2006/relationships/hyperlink" Target="https://drive.google.com/drive/folders/1SNr9wdILweyXVpaN-TokgBYYEF_kMEKz?usp=sharing" TargetMode="External"/><Relationship Id="rId4" Type="http://schemas.openxmlformats.org/officeDocument/2006/relationships/hyperlink" Target="http://bit.ly/Inciso2Doc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Santi</dc:creator>
  <cp:keywords/>
  <dc:description/>
  <cp:lastModifiedBy>Ana Paula Charão de Andrade</cp:lastModifiedBy>
  <cp:revision>3</cp:revision>
  <dcterms:created xsi:type="dcterms:W3CDTF">2020-11-27T11:43:00Z</dcterms:created>
  <dcterms:modified xsi:type="dcterms:W3CDTF">2020-11-27T12:29:00Z</dcterms:modified>
</cp:coreProperties>
</file>